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8805" w:type="dxa"/>
        <w:jc w:val="center"/>
        <w:tblLayout w:type="fixed"/>
        <w:tblLook w:val="04A0" w:firstRow="1" w:lastRow="0" w:firstColumn="1" w:lastColumn="0" w:noHBand="0" w:noVBand="1"/>
      </w:tblPr>
      <w:tblGrid>
        <w:gridCol w:w="8185"/>
        <w:gridCol w:w="810"/>
        <w:gridCol w:w="810"/>
        <w:gridCol w:w="810"/>
        <w:gridCol w:w="8190"/>
      </w:tblGrid>
      <w:tr w:rsidR="00F86D4D" w:rsidRPr="009778C5" w14:paraId="2F88E490" w14:textId="77777777" w:rsidTr="00FC5119">
        <w:trPr>
          <w:trHeight w:val="223"/>
          <w:tblHeader/>
          <w:jc w:val="center"/>
        </w:trPr>
        <w:tc>
          <w:tcPr>
            <w:tcW w:w="8185" w:type="dxa"/>
            <w:vMerge w:val="restart"/>
            <w:shd w:val="clear" w:color="auto" w:fill="4472C4"/>
            <w:vAlign w:val="center"/>
          </w:tcPr>
          <w:p w14:paraId="47FCC14B" w14:textId="77777777" w:rsidR="00F86D4D" w:rsidRPr="00633A0E" w:rsidRDefault="00F86D4D" w:rsidP="007C03E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33A0E">
              <w:rPr>
                <w:rFonts w:ascii="Arial" w:hAnsi="Arial" w:cs="Arial"/>
                <w:b/>
                <w:color w:val="FFFFFF"/>
              </w:rPr>
              <w:t>RECOMMENDATIONS</w:t>
            </w:r>
          </w:p>
        </w:tc>
        <w:tc>
          <w:tcPr>
            <w:tcW w:w="243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4472C4"/>
            <w:vAlign w:val="center"/>
          </w:tcPr>
          <w:p w14:paraId="469024BA" w14:textId="77777777" w:rsidR="00F86D4D" w:rsidRPr="00633A0E" w:rsidRDefault="00F86D4D" w:rsidP="007C03E0">
            <w:pPr>
              <w:jc w:val="center"/>
              <w:rPr>
                <w:rFonts w:ascii="Arial" w:hAnsi="Arial" w:cs="Arial"/>
                <w:color w:val="FFFFFF"/>
              </w:rPr>
            </w:pPr>
            <w:r w:rsidRPr="00633A0E">
              <w:rPr>
                <w:rFonts w:ascii="Arial" w:hAnsi="Arial" w:cs="Arial"/>
                <w:b/>
                <w:color w:val="FFFFFF"/>
              </w:rPr>
              <w:t>CURRENT STATE</w:t>
            </w: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4472C4"/>
            <w:vAlign w:val="center"/>
          </w:tcPr>
          <w:p w14:paraId="22DDBC2E" w14:textId="51D75812" w:rsidR="00F86D4D" w:rsidRPr="00633A0E" w:rsidRDefault="00F86D4D" w:rsidP="007C03E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33A0E">
              <w:rPr>
                <w:rFonts w:ascii="Arial" w:hAnsi="Arial" w:cs="Arial"/>
                <w:b/>
                <w:color w:val="FFFFFF"/>
              </w:rPr>
              <w:t>ACTION  (</w:t>
            </w:r>
            <w:r w:rsidR="00633A0E">
              <w:rPr>
                <w:rFonts w:ascii="Arial" w:hAnsi="Arial" w:cs="Arial"/>
                <w:b/>
                <w:color w:val="FFFFFF"/>
              </w:rPr>
              <w:t>FUTURE STATE</w:t>
            </w:r>
            <w:r w:rsidRPr="00633A0E">
              <w:rPr>
                <w:rFonts w:ascii="Arial" w:hAnsi="Arial" w:cs="Arial"/>
                <w:b/>
                <w:color w:val="FFFFFF"/>
              </w:rPr>
              <w:t>)</w:t>
            </w:r>
          </w:p>
        </w:tc>
      </w:tr>
      <w:tr w:rsidR="00FC5119" w:rsidRPr="009778C5" w14:paraId="3DF011B5" w14:textId="77777777" w:rsidTr="00FC5119">
        <w:trPr>
          <w:trHeight w:val="223"/>
          <w:tblHeader/>
          <w:jc w:val="center"/>
        </w:trPr>
        <w:tc>
          <w:tcPr>
            <w:tcW w:w="8185" w:type="dxa"/>
            <w:vMerge/>
            <w:shd w:val="clear" w:color="auto" w:fill="4472C4"/>
            <w:vAlign w:val="center"/>
          </w:tcPr>
          <w:p w14:paraId="31B53677" w14:textId="77777777" w:rsidR="00F86D4D" w:rsidRPr="00964B7F" w:rsidRDefault="00F86D4D" w:rsidP="007C03E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4472C4"/>
            <w:vAlign w:val="center"/>
          </w:tcPr>
          <w:p w14:paraId="0FF73805" w14:textId="77777777" w:rsidR="00F86D4D" w:rsidRPr="00964B7F" w:rsidRDefault="00F86D4D" w:rsidP="007C03E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64B7F">
              <w:rPr>
                <w:rFonts w:ascii="Arial" w:hAnsi="Arial" w:cs="Arial"/>
                <w:b/>
                <w:color w:val="FFFFFF"/>
                <w:sz w:val="18"/>
                <w:szCs w:val="18"/>
              </w:rPr>
              <w:t>Met</w:t>
            </w:r>
          </w:p>
        </w:tc>
        <w:tc>
          <w:tcPr>
            <w:tcW w:w="810" w:type="dxa"/>
            <w:shd w:val="clear" w:color="auto" w:fill="4472C4"/>
            <w:vAlign w:val="center"/>
          </w:tcPr>
          <w:p w14:paraId="1A2CC18E" w14:textId="12411306" w:rsidR="00F86D4D" w:rsidRPr="00964B7F" w:rsidRDefault="00F86D4D" w:rsidP="007C03E0">
            <w:pPr>
              <w:ind w:left="-110" w:right="-4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64B7F">
              <w:rPr>
                <w:rFonts w:ascii="Arial" w:hAnsi="Arial" w:cs="Arial"/>
                <w:b/>
                <w:color w:val="FFFFFF"/>
                <w:sz w:val="18"/>
                <w:szCs w:val="18"/>
              </w:rPr>
              <w:t>Partially</w:t>
            </w:r>
            <w:r w:rsidR="00B02CFA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Met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4472C4"/>
            <w:vAlign w:val="center"/>
          </w:tcPr>
          <w:p w14:paraId="420A1EBB" w14:textId="77777777" w:rsidR="00F86D4D" w:rsidRPr="00964B7F" w:rsidRDefault="00F86D4D" w:rsidP="007C03E0">
            <w:pPr>
              <w:ind w:left="-33" w:right="-108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64B7F">
              <w:rPr>
                <w:rFonts w:ascii="Arial" w:hAnsi="Arial" w:cs="Arial"/>
                <w:b/>
                <w:color w:val="FFFFFF"/>
                <w:sz w:val="18"/>
                <w:szCs w:val="18"/>
              </w:rPr>
              <w:t>Unmet</w:t>
            </w: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4472C4"/>
            <w:vAlign w:val="center"/>
          </w:tcPr>
          <w:p w14:paraId="1949C3FA" w14:textId="562AE674" w:rsidR="00F86D4D" w:rsidRPr="00784AC4" w:rsidRDefault="00F86D4D" w:rsidP="007C03E0">
            <w:pPr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784AC4">
              <w:rPr>
                <w:rFonts w:ascii="Arial" w:hAnsi="Arial" w:cs="Arial"/>
                <w:i/>
                <w:color w:val="FFFFFF"/>
                <w:sz w:val="18"/>
                <w:szCs w:val="18"/>
              </w:rPr>
              <w:t xml:space="preserve">What </w:t>
            </w:r>
            <w:r w:rsidR="00784AC4">
              <w:rPr>
                <w:rFonts w:ascii="Arial" w:hAnsi="Arial" w:cs="Arial"/>
                <w:i/>
                <w:color w:val="FFFFFF"/>
                <w:sz w:val="18"/>
                <w:szCs w:val="18"/>
              </w:rPr>
              <w:t xml:space="preserve">tools and strategies </w:t>
            </w:r>
            <w:r w:rsidRPr="00784AC4">
              <w:rPr>
                <w:rFonts w:ascii="Arial" w:hAnsi="Arial" w:cs="Arial"/>
                <w:i/>
                <w:color w:val="FFFFFF"/>
                <w:sz w:val="18"/>
                <w:szCs w:val="18"/>
              </w:rPr>
              <w:t>does your organization</w:t>
            </w:r>
            <w:r w:rsidR="00FC5119">
              <w:rPr>
                <w:rFonts w:ascii="Arial" w:hAnsi="Arial" w:cs="Arial"/>
                <w:i/>
                <w:color w:val="FFFFFF"/>
                <w:sz w:val="18"/>
                <w:szCs w:val="18"/>
              </w:rPr>
              <w:t xml:space="preserve"> </w:t>
            </w:r>
            <w:r w:rsidRPr="00784AC4">
              <w:rPr>
                <w:rFonts w:ascii="Arial" w:hAnsi="Arial" w:cs="Arial"/>
                <w:i/>
                <w:color w:val="FFFFFF"/>
                <w:sz w:val="18"/>
                <w:szCs w:val="18"/>
              </w:rPr>
              <w:t>need</w:t>
            </w:r>
            <w:r w:rsidR="00784AC4">
              <w:rPr>
                <w:rFonts w:ascii="Arial" w:hAnsi="Arial" w:cs="Arial"/>
                <w:i/>
                <w:color w:val="FFFFFF"/>
                <w:sz w:val="18"/>
                <w:szCs w:val="18"/>
              </w:rPr>
              <w:t xml:space="preserve"> </w:t>
            </w:r>
            <w:r w:rsidR="00FC5119">
              <w:rPr>
                <w:rFonts w:ascii="Arial" w:hAnsi="Arial" w:cs="Arial"/>
                <w:i/>
                <w:color w:val="FFFFFF"/>
                <w:sz w:val="18"/>
                <w:szCs w:val="18"/>
              </w:rPr>
              <w:t>to implement</w:t>
            </w:r>
            <w:r w:rsidR="00B02CFA" w:rsidRPr="00784AC4">
              <w:rPr>
                <w:rFonts w:ascii="Arial" w:hAnsi="Arial" w:cs="Arial"/>
                <w:i/>
                <w:color w:val="FFFFFF"/>
                <w:sz w:val="18"/>
                <w:szCs w:val="18"/>
              </w:rPr>
              <w:t xml:space="preserve"> to</w:t>
            </w:r>
            <w:r w:rsidRPr="00784AC4">
              <w:rPr>
                <w:rFonts w:ascii="Arial" w:hAnsi="Arial" w:cs="Arial"/>
                <w:i/>
                <w:color w:val="FFFFFF"/>
                <w:sz w:val="18"/>
                <w:szCs w:val="18"/>
              </w:rPr>
              <w:t xml:space="preserve"> meet this recommendation? </w:t>
            </w:r>
          </w:p>
        </w:tc>
      </w:tr>
      <w:tr w:rsidR="00B90A33" w:rsidRPr="009778C5" w14:paraId="2ED3BFD9" w14:textId="77777777" w:rsidTr="00FC5119">
        <w:trPr>
          <w:trHeight w:val="338"/>
          <w:jc w:val="center"/>
        </w:trPr>
        <w:tc>
          <w:tcPr>
            <w:tcW w:w="18805" w:type="dxa"/>
            <w:gridSpan w:val="5"/>
            <w:shd w:val="clear" w:color="auto" w:fill="70AD47"/>
            <w:vAlign w:val="center"/>
          </w:tcPr>
          <w:p w14:paraId="12A714C0" w14:textId="09966E62" w:rsidR="00B90A33" w:rsidRPr="00633A0E" w:rsidRDefault="00B90A33" w:rsidP="007C03E0">
            <w:pPr>
              <w:rPr>
                <w:rFonts w:ascii="Arial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Recommendation #1: Shared Decision Making</w:t>
            </w:r>
          </w:p>
        </w:tc>
      </w:tr>
      <w:tr w:rsidR="00412721" w:rsidRPr="009778C5" w14:paraId="570D65BA" w14:textId="77777777" w:rsidTr="00FC5119">
        <w:trPr>
          <w:trHeight w:val="259"/>
          <w:jc w:val="center"/>
        </w:trPr>
        <w:tc>
          <w:tcPr>
            <w:tcW w:w="18805" w:type="dxa"/>
            <w:gridSpan w:val="5"/>
            <w:shd w:val="clear" w:color="auto" w:fill="A6A6A6"/>
          </w:tcPr>
          <w:p w14:paraId="2CD08865" w14:textId="7AB0E5BC" w:rsidR="00412721" w:rsidRPr="00633A0E" w:rsidRDefault="00412721" w:rsidP="00412721">
            <w:pPr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i/>
                <w:iCs/>
                <w:sz w:val="20"/>
                <w:szCs w:val="20"/>
              </w:rPr>
              <w:t>Patients are provided with information to participate in shared decision-making on oxytocin induction, augmentation, and expectant management.</w:t>
            </w:r>
          </w:p>
        </w:tc>
      </w:tr>
      <w:tr w:rsidR="00F86D4D" w:rsidRPr="009778C5" w14:paraId="2337E851" w14:textId="77777777" w:rsidTr="00FC5119">
        <w:trPr>
          <w:trHeight w:val="439"/>
          <w:jc w:val="center"/>
        </w:trPr>
        <w:tc>
          <w:tcPr>
            <w:tcW w:w="8185" w:type="dxa"/>
          </w:tcPr>
          <w:p w14:paraId="0C73C738" w14:textId="77777777" w:rsidR="00F86D4D" w:rsidRPr="00633A0E" w:rsidRDefault="00F86D4D" w:rsidP="007C03E0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A patient-oriented fact sheet or pamphlet to summarize oxytocin use is provided to every patient being considered to start on oxytocin.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50AE6B96" w14:textId="77777777" w:rsidR="00F86D4D" w:rsidRPr="00633A0E" w:rsidRDefault="00F86D4D" w:rsidP="007C0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E6234D4" w14:textId="77777777" w:rsidR="00F86D4D" w:rsidRPr="00633A0E" w:rsidRDefault="00F86D4D" w:rsidP="007C0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289192F7" w14:textId="77777777" w:rsidR="00F86D4D" w:rsidRPr="00633A0E" w:rsidRDefault="00F86D4D" w:rsidP="007C0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73BFE16C" w14:textId="77777777" w:rsidR="00F86D4D" w:rsidRPr="00633A0E" w:rsidRDefault="00F86D4D" w:rsidP="007C0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D4D" w:rsidRPr="009778C5" w14:paraId="311ED6B0" w14:textId="77777777" w:rsidTr="00FC5119">
        <w:trPr>
          <w:trHeight w:val="439"/>
          <w:jc w:val="center"/>
        </w:trPr>
        <w:tc>
          <w:tcPr>
            <w:tcW w:w="8185" w:type="dxa"/>
          </w:tcPr>
          <w:p w14:paraId="32D83D79" w14:textId="77777777" w:rsidR="00F86D4D" w:rsidRPr="00633A0E" w:rsidRDefault="00F86D4D" w:rsidP="007C03E0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Informed consent for starting oxytocin is obtained and documented by MRP upon admission and again prior to medication set-up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2CBB20D4" w14:textId="77777777" w:rsidR="00F86D4D" w:rsidRPr="00633A0E" w:rsidRDefault="00F86D4D" w:rsidP="007C0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E71EA3" w14:textId="77777777" w:rsidR="00F86D4D" w:rsidRPr="00633A0E" w:rsidRDefault="00F86D4D" w:rsidP="007C0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A8F20D7" w14:textId="77777777" w:rsidR="00F86D4D" w:rsidRPr="00633A0E" w:rsidRDefault="00F86D4D" w:rsidP="007C0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1FEBB8D7" w14:textId="77777777" w:rsidR="00F86D4D" w:rsidRPr="00633A0E" w:rsidRDefault="00F86D4D" w:rsidP="007C0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D4D" w:rsidRPr="009778C5" w14:paraId="6A5BF9A8" w14:textId="77777777" w:rsidTr="00FC5119">
        <w:trPr>
          <w:trHeight w:val="914"/>
          <w:jc w:val="center"/>
        </w:trPr>
        <w:tc>
          <w:tcPr>
            <w:tcW w:w="8185" w:type="dxa"/>
          </w:tcPr>
          <w:p w14:paraId="071EFBD4" w14:textId="59D24976" w:rsidR="00F86D4D" w:rsidRPr="00633A0E" w:rsidRDefault="00F86D4D" w:rsidP="007C03E0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Informed consent discussion includes</w:t>
            </w:r>
            <w:r w:rsidR="00412721" w:rsidRPr="00633A0E">
              <w:rPr>
                <w:rFonts w:ascii="Arial" w:eastAsia="Arial Narrow" w:hAnsi="Arial" w:cs="Arial"/>
                <w:sz w:val="20"/>
                <w:szCs w:val="20"/>
              </w:rPr>
              <w:t>,</w:t>
            </w: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 but </w:t>
            </w:r>
            <w:r w:rsidR="00412721" w:rsidRPr="00633A0E">
              <w:rPr>
                <w:rFonts w:ascii="Arial" w:eastAsia="Arial Narrow" w:hAnsi="Arial" w:cs="Arial"/>
                <w:sz w:val="20"/>
                <w:szCs w:val="20"/>
              </w:rPr>
              <w:t xml:space="preserve">is </w:t>
            </w:r>
            <w:r w:rsidRPr="00633A0E">
              <w:rPr>
                <w:rFonts w:ascii="Arial" w:eastAsia="Arial Narrow" w:hAnsi="Arial" w:cs="Arial"/>
                <w:sz w:val="20"/>
                <w:szCs w:val="20"/>
              </w:rPr>
              <w:t>not limited to:</w:t>
            </w:r>
          </w:p>
          <w:p w14:paraId="4AAF97FB" w14:textId="6085E68C" w:rsidR="00F86D4D" w:rsidRPr="00633A0E" w:rsidRDefault="00412721" w:rsidP="00F86D4D">
            <w:pPr>
              <w:pStyle w:val="ListParagraph"/>
              <w:widowControl w:val="0"/>
              <w:numPr>
                <w:ilvl w:val="0"/>
                <w:numId w:val="1"/>
              </w:numPr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m</w:t>
            </w:r>
            <w:r w:rsidR="00F86D4D" w:rsidRPr="00633A0E">
              <w:rPr>
                <w:rFonts w:ascii="Arial" w:eastAsia="Arial Narrow" w:hAnsi="Arial" w:cs="Arial"/>
                <w:sz w:val="20"/>
                <w:szCs w:val="20"/>
              </w:rPr>
              <w:t>aternal and fetal indications</w:t>
            </w:r>
          </w:p>
          <w:p w14:paraId="4D665937" w14:textId="3ECFC58A" w:rsidR="00F86D4D" w:rsidRPr="00633A0E" w:rsidRDefault="00412721" w:rsidP="00F86D4D">
            <w:pPr>
              <w:pStyle w:val="ListParagraph"/>
              <w:widowControl w:val="0"/>
              <w:numPr>
                <w:ilvl w:val="0"/>
                <w:numId w:val="1"/>
              </w:numPr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b</w:t>
            </w:r>
            <w:r w:rsidR="00F86D4D" w:rsidRPr="00633A0E">
              <w:rPr>
                <w:rFonts w:ascii="Arial" w:eastAsia="Arial Narrow" w:hAnsi="Arial" w:cs="Arial"/>
                <w:sz w:val="20"/>
                <w:szCs w:val="20"/>
              </w:rPr>
              <w:t>enefits and risks of oxytocin administration</w:t>
            </w:r>
          </w:p>
          <w:p w14:paraId="6A79756F" w14:textId="1E287AB9" w:rsidR="00F86D4D" w:rsidRPr="00633A0E" w:rsidRDefault="00412721" w:rsidP="00F86D4D">
            <w:pPr>
              <w:pStyle w:val="ListParagraph"/>
              <w:widowControl w:val="0"/>
              <w:numPr>
                <w:ilvl w:val="0"/>
                <w:numId w:val="1"/>
              </w:numPr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b</w:t>
            </w:r>
            <w:r w:rsidR="00F86D4D" w:rsidRPr="00633A0E">
              <w:rPr>
                <w:rFonts w:ascii="Arial" w:eastAsia="Arial Narrow" w:hAnsi="Arial" w:cs="Arial"/>
                <w:sz w:val="20"/>
                <w:szCs w:val="20"/>
              </w:rPr>
              <w:t>enefits and risks of alternatives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509B1716" w14:textId="77777777" w:rsidR="00F86D4D" w:rsidRPr="00633A0E" w:rsidRDefault="00F86D4D" w:rsidP="007C0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8D1992E" w14:textId="77777777" w:rsidR="00F86D4D" w:rsidRPr="00633A0E" w:rsidRDefault="00F86D4D" w:rsidP="007C0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4BEE7305" w14:textId="77777777" w:rsidR="00F86D4D" w:rsidRPr="00633A0E" w:rsidRDefault="00F86D4D" w:rsidP="007C0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15BF6395" w14:textId="77777777" w:rsidR="00F86D4D" w:rsidRPr="00633A0E" w:rsidRDefault="00F86D4D" w:rsidP="007C0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D4D" w:rsidRPr="009778C5" w14:paraId="518596CA" w14:textId="77777777" w:rsidTr="00FC5119">
        <w:trPr>
          <w:trHeight w:val="385"/>
          <w:jc w:val="center"/>
        </w:trPr>
        <w:tc>
          <w:tcPr>
            <w:tcW w:w="18805" w:type="dxa"/>
            <w:gridSpan w:val="5"/>
            <w:shd w:val="clear" w:color="auto" w:fill="70AD47"/>
            <w:vAlign w:val="center"/>
          </w:tcPr>
          <w:p w14:paraId="65859A84" w14:textId="77777777" w:rsidR="00F86D4D" w:rsidRPr="00633A0E" w:rsidRDefault="00F86D4D" w:rsidP="007C0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b/>
                <w:sz w:val="20"/>
                <w:szCs w:val="20"/>
              </w:rPr>
              <w:t>Recommendation #2: Inter-Professional Team Communication</w:t>
            </w:r>
          </w:p>
        </w:tc>
      </w:tr>
      <w:tr w:rsidR="00412721" w:rsidRPr="009778C5" w14:paraId="52247879" w14:textId="77777777" w:rsidTr="00FC5119">
        <w:trPr>
          <w:trHeight w:val="259"/>
          <w:jc w:val="center"/>
        </w:trPr>
        <w:tc>
          <w:tcPr>
            <w:tcW w:w="18805" w:type="dxa"/>
            <w:gridSpan w:val="5"/>
            <w:shd w:val="clear" w:color="auto" w:fill="A6A6A6"/>
          </w:tcPr>
          <w:p w14:paraId="07869C3D" w14:textId="116EE9F0" w:rsidR="00412721" w:rsidRPr="00633A0E" w:rsidRDefault="00412721" w:rsidP="00412721">
            <w:pPr>
              <w:rPr>
                <w:rFonts w:ascii="Arial" w:eastAsia="Arial Narrow" w:hAnsi="Arial" w:cs="Arial"/>
                <w:b/>
                <w:i/>
                <w:iCs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i/>
                <w:iCs/>
                <w:sz w:val="20"/>
                <w:szCs w:val="20"/>
              </w:rPr>
              <w:t>Members of the health care team must maintain communication that is clear, direct, and respectful.</w:t>
            </w:r>
          </w:p>
        </w:tc>
      </w:tr>
      <w:tr w:rsidR="00412721" w:rsidRPr="009778C5" w14:paraId="71A86D3F" w14:textId="77777777" w:rsidTr="00FC5119">
        <w:trPr>
          <w:trHeight w:val="219"/>
          <w:jc w:val="center"/>
        </w:trPr>
        <w:tc>
          <w:tcPr>
            <w:tcW w:w="8185" w:type="dxa"/>
          </w:tcPr>
          <w:p w14:paraId="0CF69F40" w14:textId="02AD0C98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The hospital/unit has an escalation process, or </w:t>
            </w:r>
            <w:r w:rsidRPr="00633A0E">
              <w:rPr>
                <w:rFonts w:ascii="Arial" w:eastAsia="Arial Narrow" w:hAnsi="Arial" w:cs="Arial"/>
                <w:i/>
                <w:iCs/>
                <w:sz w:val="20"/>
                <w:szCs w:val="20"/>
              </w:rPr>
              <w:t>chain of command</w:t>
            </w: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 protocol, in place.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C4801E2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7D3EAE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5CDA4B30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3D835032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15F78B28" w14:textId="77777777" w:rsidTr="00FC5119">
        <w:trPr>
          <w:trHeight w:val="219"/>
          <w:jc w:val="center"/>
        </w:trPr>
        <w:tc>
          <w:tcPr>
            <w:tcW w:w="8185" w:type="dxa"/>
          </w:tcPr>
          <w:p w14:paraId="6573F6FB" w14:textId="0E936A73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The hospital/unit has a standardized transfer of accountability/handover process. 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2CD6E702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68F9D0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5448259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00494563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78BB9CB7" w14:textId="77777777" w:rsidTr="00FC5119">
        <w:trPr>
          <w:trHeight w:val="426"/>
          <w:jc w:val="center"/>
        </w:trPr>
        <w:tc>
          <w:tcPr>
            <w:tcW w:w="8185" w:type="dxa"/>
          </w:tcPr>
          <w:p w14:paraId="54A24D1B" w14:textId="77777777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Ongoing inter-professional team training and skills drills are provided and supported by clinical leadership.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7174E944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25CDAA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E4FC542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754F27ED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28DC5465" w14:textId="77777777" w:rsidTr="00FC5119">
        <w:trPr>
          <w:trHeight w:val="369"/>
          <w:jc w:val="center"/>
        </w:trPr>
        <w:tc>
          <w:tcPr>
            <w:tcW w:w="18805" w:type="dxa"/>
            <w:gridSpan w:val="5"/>
            <w:shd w:val="clear" w:color="auto" w:fill="70AD47"/>
            <w:vAlign w:val="center"/>
          </w:tcPr>
          <w:p w14:paraId="50780ECB" w14:textId="77777777" w:rsidR="00412721" w:rsidRPr="00633A0E" w:rsidRDefault="00412721" w:rsidP="00412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b/>
                <w:sz w:val="20"/>
                <w:szCs w:val="20"/>
              </w:rPr>
              <w:t>Recommendation #3: Indications for Induction or Augmentation</w:t>
            </w:r>
          </w:p>
        </w:tc>
      </w:tr>
      <w:tr w:rsidR="00412721" w:rsidRPr="009778C5" w14:paraId="2FA97793" w14:textId="77777777" w:rsidTr="00FC5119">
        <w:trPr>
          <w:trHeight w:val="314"/>
          <w:jc w:val="center"/>
        </w:trPr>
        <w:tc>
          <w:tcPr>
            <w:tcW w:w="18805" w:type="dxa"/>
            <w:gridSpan w:val="5"/>
            <w:shd w:val="clear" w:color="auto" w:fill="A6A6A6"/>
          </w:tcPr>
          <w:p w14:paraId="00509D26" w14:textId="349D0792" w:rsidR="00412721" w:rsidRPr="00633A0E" w:rsidRDefault="00412721" w:rsidP="00412721">
            <w:pPr>
              <w:rPr>
                <w:rFonts w:ascii="Arial" w:eastAsia="Arial Narrow" w:hAnsi="Arial" w:cs="Arial"/>
                <w:b/>
                <w:i/>
                <w:iCs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i/>
                <w:iCs/>
                <w:sz w:val="20"/>
                <w:szCs w:val="20"/>
              </w:rPr>
              <w:t>The prescriber will order oxytocin for induction and/or augmentation for the appropriate indication(s).</w:t>
            </w:r>
          </w:p>
        </w:tc>
      </w:tr>
      <w:tr w:rsidR="00412721" w:rsidRPr="009778C5" w14:paraId="2C5A4371" w14:textId="77777777" w:rsidTr="00FC5119">
        <w:trPr>
          <w:trHeight w:val="439"/>
          <w:jc w:val="center"/>
        </w:trPr>
        <w:tc>
          <w:tcPr>
            <w:tcW w:w="8185" w:type="dxa"/>
          </w:tcPr>
          <w:p w14:paraId="279E6795" w14:textId="43C8CEAD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Clinical decision-making tools about disagreeing with the plan of care as well as medication administration are used consistently, as required.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02F87E26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0C2211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7683AABC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3439E6DC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56202EE5" w14:textId="77777777" w:rsidTr="00FC5119">
        <w:trPr>
          <w:trHeight w:val="439"/>
          <w:jc w:val="center"/>
        </w:trPr>
        <w:tc>
          <w:tcPr>
            <w:tcW w:w="8185" w:type="dxa"/>
          </w:tcPr>
          <w:p w14:paraId="1DD9FE66" w14:textId="1E242BF9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Safety tools, such as checklists to ensure oxytocin is being used safely and for appropriate indications, are used consistently.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4F01594F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1CC05C4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B05F06C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7DE505E5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1C2E629C" w14:textId="77777777" w:rsidTr="00FC5119">
        <w:trPr>
          <w:trHeight w:val="439"/>
          <w:jc w:val="center"/>
        </w:trPr>
        <w:tc>
          <w:tcPr>
            <w:tcW w:w="8185" w:type="dxa"/>
          </w:tcPr>
          <w:p w14:paraId="2BB3FCE8" w14:textId="77777777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The cervix is assessed using the Bishop score to ensure that the pregnant patient has a favourable cervix ready for oxytocin administration. 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32FA1178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7D037B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5CFB6C2F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3472337F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50EA6275" w14:textId="77777777" w:rsidTr="00FC5119">
        <w:trPr>
          <w:trHeight w:val="369"/>
          <w:jc w:val="center"/>
        </w:trPr>
        <w:tc>
          <w:tcPr>
            <w:tcW w:w="18805" w:type="dxa"/>
            <w:gridSpan w:val="5"/>
            <w:shd w:val="clear" w:color="auto" w:fill="70AD47"/>
            <w:vAlign w:val="center"/>
          </w:tcPr>
          <w:p w14:paraId="3A89BB7C" w14:textId="77777777" w:rsidR="00412721" w:rsidRPr="00633A0E" w:rsidRDefault="00412721" w:rsidP="00412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b/>
                <w:sz w:val="20"/>
                <w:szCs w:val="20"/>
              </w:rPr>
              <w:t>Recommendation #4: Professional Skills Training</w:t>
            </w:r>
          </w:p>
        </w:tc>
      </w:tr>
      <w:tr w:rsidR="00412721" w:rsidRPr="009778C5" w14:paraId="031B6353" w14:textId="77777777" w:rsidTr="00FC5119">
        <w:trPr>
          <w:trHeight w:val="298"/>
          <w:jc w:val="center"/>
        </w:trPr>
        <w:tc>
          <w:tcPr>
            <w:tcW w:w="18805" w:type="dxa"/>
            <w:gridSpan w:val="5"/>
            <w:shd w:val="clear" w:color="auto" w:fill="A6A6A6"/>
          </w:tcPr>
          <w:p w14:paraId="721AA43B" w14:textId="48B8411C" w:rsidR="00412721" w:rsidRPr="00633A0E" w:rsidRDefault="00412721" w:rsidP="00412721">
            <w:pPr>
              <w:rPr>
                <w:rFonts w:ascii="Arial" w:eastAsia="Arial Narrow" w:hAnsi="Arial" w:cs="Arial"/>
                <w:b/>
                <w:i/>
                <w:iCs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i/>
                <w:iCs/>
                <w:sz w:val="20"/>
                <w:szCs w:val="20"/>
              </w:rPr>
              <w:t>Oxytocin is prescribed and administered by a trained health care professional educated on its use, including the effects and risks of drug administration.</w:t>
            </w:r>
          </w:p>
        </w:tc>
      </w:tr>
      <w:tr w:rsidR="00412721" w:rsidRPr="009778C5" w14:paraId="7DDF6CD5" w14:textId="77777777" w:rsidTr="00FC5119">
        <w:trPr>
          <w:trHeight w:val="660"/>
          <w:jc w:val="center"/>
        </w:trPr>
        <w:tc>
          <w:tcPr>
            <w:tcW w:w="8185" w:type="dxa"/>
          </w:tcPr>
          <w:p w14:paraId="4ACFF73F" w14:textId="085FC5A7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Initial and ongoing (every two years) inter-professional FHS training for all health care providers who are involved in intrapartum fetal monitoring is provided and supported.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274D1670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628567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5A49B89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16EF8574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12084BF6" w14:textId="77777777" w:rsidTr="00FC5119">
        <w:trPr>
          <w:trHeight w:val="660"/>
          <w:jc w:val="center"/>
        </w:trPr>
        <w:tc>
          <w:tcPr>
            <w:tcW w:w="8185" w:type="dxa"/>
          </w:tcPr>
          <w:p w14:paraId="7F5F2255" w14:textId="77777777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lastRenderedPageBreak/>
              <w:t xml:space="preserve">Accessible drug information which lists onset, duration of action, administration guardrails and possible adverse effects of oxytocin administration is available for all staff. 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7FB519ED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1B08D76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4D2FC527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3CAB487A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68229A1B" w14:textId="77777777" w:rsidTr="00FC5119">
        <w:trPr>
          <w:trHeight w:val="439"/>
          <w:jc w:val="center"/>
        </w:trPr>
        <w:tc>
          <w:tcPr>
            <w:tcW w:w="8185" w:type="dxa"/>
          </w:tcPr>
          <w:p w14:paraId="6356D576" w14:textId="114FDD87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Training on the correct use of IV Smart Pumps is provided and supported for all staff.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1547F972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393B45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7FA38A06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3FF2FEB7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28575F24" w14:textId="77777777" w:rsidTr="00FC5119">
        <w:trPr>
          <w:trHeight w:val="409"/>
          <w:jc w:val="center"/>
        </w:trPr>
        <w:tc>
          <w:tcPr>
            <w:tcW w:w="18805" w:type="dxa"/>
            <w:gridSpan w:val="5"/>
            <w:shd w:val="clear" w:color="auto" w:fill="70AD47"/>
            <w:vAlign w:val="center"/>
          </w:tcPr>
          <w:p w14:paraId="127EDFAB" w14:textId="77777777" w:rsidR="00412721" w:rsidRPr="00633A0E" w:rsidRDefault="00412721" w:rsidP="00412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b/>
                <w:sz w:val="20"/>
                <w:szCs w:val="20"/>
              </w:rPr>
              <w:t>Recommendation #5: Hospital Preparedness for Adverse Events</w:t>
            </w:r>
          </w:p>
        </w:tc>
      </w:tr>
      <w:tr w:rsidR="00412721" w:rsidRPr="009778C5" w14:paraId="3F0FFE48" w14:textId="77777777" w:rsidTr="00FC5119">
        <w:trPr>
          <w:trHeight w:val="314"/>
          <w:jc w:val="center"/>
        </w:trPr>
        <w:tc>
          <w:tcPr>
            <w:tcW w:w="18805" w:type="dxa"/>
            <w:gridSpan w:val="5"/>
            <w:shd w:val="clear" w:color="auto" w:fill="A6A6A6"/>
            <w:vAlign w:val="center"/>
          </w:tcPr>
          <w:p w14:paraId="31E87CFF" w14:textId="1DDDF490" w:rsidR="00412721" w:rsidRPr="00633A0E" w:rsidRDefault="00412721" w:rsidP="00412721">
            <w:pPr>
              <w:rPr>
                <w:rFonts w:ascii="Arial" w:eastAsia="Arial Narrow" w:hAnsi="Arial" w:cs="Arial"/>
                <w:b/>
                <w:i/>
                <w:iCs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i/>
                <w:iCs/>
                <w:sz w:val="20"/>
                <w:szCs w:val="20"/>
              </w:rPr>
              <w:t>Administration of oxytocin will occur in hospitals where interventions are readily available to manage potential adverse events.</w:t>
            </w:r>
          </w:p>
        </w:tc>
      </w:tr>
      <w:tr w:rsidR="00412721" w:rsidRPr="009778C5" w14:paraId="4B715ECB" w14:textId="77777777" w:rsidTr="00FC5119">
        <w:trPr>
          <w:trHeight w:val="439"/>
          <w:jc w:val="center"/>
        </w:trPr>
        <w:tc>
          <w:tcPr>
            <w:tcW w:w="8185" w:type="dxa"/>
          </w:tcPr>
          <w:p w14:paraId="3AE9AE83" w14:textId="77777777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The hospital is designated at an appropriate level of care and/or has timely access to the necessary resources to provide induction of labour.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31D8A78A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A02BB4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EB978AD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4C5747FC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43C87604" w14:textId="77777777" w:rsidTr="00FC5119">
        <w:trPr>
          <w:trHeight w:val="439"/>
          <w:jc w:val="center"/>
        </w:trPr>
        <w:tc>
          <w:tcPr>
            <w:tcW w:w="8185" w:type="dxa"/>
          </w:tcPr>
          <w:p w14:paraId="574E8030" w14:textId="77777777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The hospital has policies and protocols in place to manage potential adverse events related to administration of IV oxytocin.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7998A799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0628394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E5EAD4B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612AD8B5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2CB55CC5" w14:textId="77777777" w:rsidTr="00FC5119">
        <w:trPr>
          <w:trHeight w:val="346"/>
          <w:jc w:val="center"/>
        </w:trPr>
        <w:tc>
          <w:tcPr>
            <w:tcW w:w="18805" w:type="dxa"/>
            <w:gridSpan w:val="5"/>
            <w:shd w:val="clear" w:color="auto" w:fill="70AD47"/>
            <w:vAlign w:val="center"/>
          </w:tcPr>
          <w:p w14:paraId="7C643E42" w14:textId="77777777" w:rsidR="00412721" w:rsidRPr="00633A0E" w:rsidRDefault="00412721" w:rsidP="00412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b/>
                <w:sz w:val="20"/>
                <w:szCs w:val="20"/>
              </w:rPr>
              <w:t>Recommendation #6: Medication Handling</w:t>
            </w:r>
          </w:p>
        </w:tc>
      </w:tr>
      <w:tr w:rsidR="00412721" w:rsidRPr="009778C5" w14:paraId="2728D845" w14:textId="77777777" w:rsidTr="00FC5119">
        <w:trPr>
          <w:trHeight w:val="290"/>
          <w:jc w:val="center"/>
        </w:trPr>
        <w:tc>
          <w:tcPr>
            <w:tcW w:w="18805" w:type="dxa"/>
            <w:gridSpan w:val="5"/>
            <w:shd w:val="clear" w:color="auto" w:fill="A6A6A6"/>
            <w:vAlign w:val="center"/>
          </w:tcPr>
          <w:p w14:paraId="46AE48BA" w14:textId="0764814A" w:rsidR="00412721" w:rsidRPr="00633A0E" w:rsidRDefault="00412721" w:rsidP="00412721">
            <w:pPr>
              <w:rPr>
                <w:rFonts w:ascii="Arial" w:eastAsia="Arial Narrow" w:hAnsi="Arial" w:cs="Arial"/>
                <w:b/>
                <w:i/>
                <w:iCs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i/>
                <w:iCs/>
                <w:sz w:val="20"/>
                <w:szCs w:val="20"/>
              </w:rPr>
              <w:t>Oxytocin is stored safely and labelled appropriately.</w:t>
            </w:r>
          </w:p>
        </w:tc>
      </w:tr>
      <w:tr w:rsidR="00412721" w:rsidRPr="009778C5" w14:paraId="32336B17" w14:textId="77777777" w:rsidTr="00FC5119">
        <w:trPr>
          <w:trHeight w:val="439"/>
          <w:jc w:val="center"/>
        </w:trPr>
        <w:tc>
          <w:tcPr>
            <w:tcW w:w="8185" w:type="dxa"/>
          </w:tcPr>
          <w:p w14:paraId="44B4AF88" w14:textId="77777777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Oxytocin is dispensed via a medication dispensing machine or a locked medication cart.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2BED68F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E3A2A34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2871E934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350C4157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7857476E" w14:textId="77777777" w:rsidTr="00FC5119">
        <w:trPr>
          <w:trHeight w:val="219"/>
          <w:jc w:val="center"/>
        </w:trPr>
        <w:tc>
          <w:tcPr>
            <w:tcW w:w="8185" w:type="dxa"/>
          </w:tcPr>
          <w:p w14:paraId="79A02BF1" w14:textId="77777777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Oxytocin is listed on the hospital’s “High Alert Medication List”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10C2AD8C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88840B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6B3E459A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4F011A35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243654D5" w14:textId="77777777" w:rsidTr="00FC5119">
        <w:trPr>
          <w:trHeight w:val="1720"/>
          <w:jc w:val="center"/>
        </w:trPr>
        <w:tc>
          <w:tcPr>
            <w:tcW w:w="8185" w:type="dxa"/>
          </w:tcPr>
          <w:p w14:paraId="475C418B" w14:textId="4281F282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Standardized medication label for oxytocin is </w:t>
            </w:r>
            <w:r w:rsidR="000B0147" w:rsidRPr="00633A0E">
              <w:rPr>
                <w:rFonts w:ascii="Arial" w:eastAsia="Arial Narrow" w:hAnsi="Arial" w:cs="Arial"/>
                <w:sz w:val="20"/>
                <w:szCs w:val="20"/>
              </w:rPr>
              <w:t>utilized,</w:t>
            </w: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 t</w:t>
            </w:r>
            <w:r w:rsidR="000B0147" w:rsidRPr="00633A0E">
              <w:rPr>
                <w:rFonts w:ascii="Arial" w:eastAsia="Arial Narrow" w:hAnsi="Arial" w:cs="Arial"/>
                <w:sz w:val="20"/>
                <w:szCs w:val="20"/>
              </w:rPr>
              <w:t>hat includes the</w:t>
            </w: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 following:</w:t>
            </w:r>
          </w:p>
          <w:p w14:paraId="394B51A1" w14:textId="77777777" w:rsidR="00412721" w:rsidRPr="00633A0E" w:rsidRDefault="00412721" w:rsidP="00412721">
            <w:pPr>
              <w:pStyle w:val="ListParagraph"/>
              <w:widowControl w:val="0"/>
              <w:numPr>
                <w:ilvl w:val="0"/>
                <w:numId w:val="2"/>
              </w:numPr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Name of drug</w:t>
            </w:r>
          </w:p>
          <w:p w14:paraId="1987690E" w14:textId="77777777" w:rsidR="00412721" w:rsidRPr="00633A0E" w:rsidRDefault="00412721" w:rsidP="00412721">
            <w:pPr>
              <w:pStyle w:val="ListParagraph"/>
              <w:widowControl w:val="0"/>
              <w:numPr>
                <w:ilvl w:val="0"/>
                <w:numId w:val="2"/>
              </w:numPr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Units of oxytocin added to the bag</w:t>
            </w:r>
          </w:p>
          <w:p w14:paraId="7AD5F036" w14:textId="77777777" w:rsidR="00412721" w:rsidRPr="00633A0E" w:rsidRDefault="00412721" w:rsidP="00412721">
            <w:pPr>
              <w:pStyle w:val="ListParagraph"/>
              <w:widowControl w:val="0"/>
              <w:numPr>
                <w:ilvl w:val="0"/>
                <w:numId w:val="2"/>
              </w:numPr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Final concentration of oxytocin in milliunits per milliliter (mu/mL)</w:t>
            </w:r>
          </w:p>
          <w:p w14:paraId="7C6D354F" w14:textId="77777777" w:rsidR="00412721" w:rsidRPr="00633A0E" w:rsidRDefault="00412721" w:rsidP="00412721">
            <w:pPr>
              <w:pStyle w:val="ListParagraph"/>
              <w:widowControl w:val="0"/>
              <w:numPr>
                <w:ilvl w:val="0"/>
                <w:numId w:val="2"/>
              </w:numPr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Date of bag preparation</w:t>
            </w:r>
          </w:p>
          <w:p w14:paraId="04A314E9" w14:textId="77777777" w:rsidR="00412721" w:rsidRPr="00633A0E" w:rsidRDefault="00412721" w:rsidP="00412721">
            <w:pPr>
              <w:pStyle w:val="ListParagraph"/>
              <w:widowControl w:val="0"/>
              <w:numPr>
                <w:ilvl w:val="0"/>
                <w:numId w:val="2"/>
              </w:numPr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Initials of staff member preparing the bag</w:t>
            </w:r>
          </w:p>
          <w:p w14:paraId="7F65CFD6" w14:textId="77777777" w:rsidR="00412721" w:rsidRPr="00633A0E" w:rsidRDefault="00412721" w:rsidP="00412721">
            <w:pPr>
              <w:pStyle w:val="ListParagraph"/>
              <w:widowControl w:val="0"/>
              <w:numPr>
                <w:ilvl w:val="0"/>
                <w:numId w:val="2"/>
              </w:numPr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Initials of staff member preparing and performing the independent double check of preparation. 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7FE3307C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C80D0B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AA92C8D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671ED09F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0B4EDC2B" w14:textId="77777777" w:rsidTr="00FC5119">
        <w:trPr>
          <w:trHeight w:val="219"/>
          <w:jc w:val="center"/>
        </w:trPr>
        <w:tc>
          <w:tcPr>
            <w:tcW w:w="8185" w:type="dxa"/>
          </w:tcPr>
          <w:p w14:paraId="53612686" w14:textId="77777777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Tubing and infusion pumps are labelled in a standard and consistent manner.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510FD6E5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B3DE77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7A6A5BCF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5D511992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0929B79B" w14:textId="77777777" w:rsidTr="00FC5119">
        <w:trPr>
          <w:trHeight w:val="385"/>
          <w:jc w:val="center"/>
        </w:trPr>
        <w:tc>
          <w:tcPr>
            <w:tcW w:w="18805" w:type="dxa"/>
            <w:gridSpan w:val="5"/>
            <w:shd w:val="clear" w:color="auto" w:fill="70AD47"/>
            <w:vAlign w:val="center"/>
          </w:tcPr>
          <w:p w14:paraId="6B612733" w14:textId="77777777" w:rsidR="00412721" w:rsidRPr="00633A0E" w:rsidRDefault="00412721" w:rsidP="00412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b/>
                <w:sz w:val="20"/>
                <w:szCs w:val="20"/>
              </w:rPr>
              <w:t>Recommendation #7: Standard Use of Oxytocin</w:t>
            </w:r>
          </w:p>
        </w:tc>
      </w:tr>
      <w:tr w:rsidR="00412721" w:rsidRPr="009778C5" w14:paraId="2D4071EA" w14:textId="77777777" w:rsidTr="00FC5119">
        <w:trPr>
          <w:trHeight w:val="322"/>
          <w:jc w:val="center"/>
        </w:trPr>
        <w:tc>
          <w:tcPr>
            <w:tcW w:w="18805" w:type="dxa"/>
            <w:gridSpan w:val="5"/>
            <w:shd w:val="clear" w:color="auto" w:fill="A6A6A6"/>
            <w:vAlign w:val="center"/>
          </w:tcPr>
          <w:p w14:paraId="702096A7" w14:textId="100A50B6" w:rsidR="00412721" w:rsidRPr="00633A0E" w:rsidRDefault="00412721" w:rsidP="00412721">
            <w:pPr>
              <w:rPr>
                <w:rFonts w:ascii="Arial" w:eastAsia="Arial Narrow" w:hAnsi="Arial" w:cs="Arial"/>
                <w:b/>
                <w:i/>
                <w:iCs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i/>
                <w:iCs/>
                <w:sz w:val="20"/>
                <w:szCs w:val="20"/>
              </w:rPr>
              <w:t>Each hospital will use a standardized oxytocin protocol and order set.</w:t>
            </w:r>
          </w:p>
        </w:tc>
      </w:tr>
      <w:tr w:rsidR="00412721" w:rsidRPr="009778C5" w14:paraId="7229927E" w14:textId="77777777" w:rsidTr="00FC5119">
        <w:trPr>
          <w:trHeight w:val="187"/>
          <w:jc w:val="center"/>
        </w:trPr>
        <w:tc>
          <w:tcPr>
            <w:tcW w:w="8185" w:type="dxa"/>
          </w:tcPr>
          <w:p w14:paraId="20757453" w14:textId="77777777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The hospital has standardized order sets in place and that are consistently used. 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54FC64C6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B2EADA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77E88EC0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2FB948C6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5ABB5AC8" w14:textId="77777777" w:rsidTr="00FC5119">
        <w:trPr>
          <w:trHeight w:val="187"/>
          <w:jc w:val="center"/>
        </w:trPr>
        <w:tc>
          <w:tcPr>
            <w:tcW w:w="8185" w:type="dxa"/>
          </w:tcPr>
          <w:p w14:paraId="3FE5DF50" w14:textId="77777777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The standardized order sets include emergency procedures such as providing intrauterine resuscitation during infusion or using rescue agents during adverse events.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70B4DD7F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5A23E61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C400926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5FABBE96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08B0B5F6" w14:textId="77777777" w:rsidTr="00FC5119">
        <w:trPr>
          <w:trHeight w:val="369"/>
          <w:jc w:val="center"/>
        </w:trPr>
        <w:tc>
          <w:tcPr>
            <w:tcW w:w="18805" w:type="dxa"/>
            <w:gridSpan w:val="5"/>
            <w:shd w:val="clear" w:color="auto" w:fill="70AD47"/>
            <w:vAlign w:val="center"/>
          </w:tcPr>
          <w:p w14:paraId="60967FC6" w14:textId="77777777" w:rsidR="00412721" w:rsidRPr="00633A0E" w:rsidRDefault="00412721" w:rsidP="00412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b/>
                <w:sz w:val="20"/>
                <w:szCs w:val="20"/>
              </w:rPr>
              <w:lastRenderedPageBreak/>
              <w:t>Recommendation #8: Independent Double-Check &amp; Smart Pump Use</w:t>
            </w:r>
          </w:p>
        </w:tc>
      </w:tr>
      <w:tr w:rsidR="00412721" w:rsidRPr="009778C5" w14:paraId="322C9C70" w14:textId="77777777" w:rsidTr="00FC5119">
        <w:trPr>
          <w:trHeight w:val="306"/>
          <w:jc w:val="center"/>
        </w:trPr>
        <w:tc>
          <w:tcPr>
            <w:tcW w:w="18805" w:type="dxa"/>
            <w:gridSpan w:val="5"/>
            <w:shd w:val="clear" w:color="auto" w:fill="A6A6A6"/>
            <w:vAlign w:val="center"/>
          </w:tcPr>
          <w:p w14:paraId="01659C5F" w14:textId="6FE864EF" w:rsidR="00412721" w:rsidRPr="00633A0E" w:rsidRDefault="00412721" w:rsidP="00412721">
            <w:pPr>
              <w:rPr>
                <w:rFonts w:ascii="Arial" w:eastAsia="Arial Narrow" w:hAnsi="Arial" w:cs="Arial"/>
                <w:b/>
                <w:i/>
                <w:iCs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i/>
                <w:iCs/>
                <w:sz w:val="20"/>
                <w:szCs w:val="20"/>
              </w:rPr>
              <w:t>Independent double check to be obtained in preparing the medication and setting the initial pump infusion rate via a Smart Pump.</w:t>
            </w:r>
          </w:p>
        </w:tc>
      </w:tr>
      <w:tr w:rsidR="00412721" w:rsidRPr="009778C5" w14:paraId="1AA86B77" w14:textId="77777777" w:rsidTr="00FC5119">
        <w:trPr>
          <w:trHeight w:val="1451"/>
          <w:jc w:val="center"/>
        </w:trPr>
        <w:tc>
          <w:tcPr>
            <w:tcW w:w="8185" w:type="dxa"/>
          </w:tcPr>
          <w:p w14:paraId="7E414879" w14:textId="6E90B178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The hospital has a double check algorithm in place </w:t>
            </w:r>
            <w:r w:rsidR="000B0147" w:rsidRPr="00633A0E">
              <w:rPr>
                <w:rFonts w:ascii="Arial" w:eastAsia="Arial Narrow" w:hAnsi="Arial" w:cs="Arial"/>
                <w:sz w:val="20"/>
                <w:szCs w:val="20"/>
              </w:rPr>
              <w:t>that is</w:t>
            </w: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 consistently used</w:t>
            </w:r>
            <w:r w:rsidR="000B0147" w:rsidRPr="00633A0E">
              <w:rPr>
                <w:rFonts w:ascii="Arial" w:eastAsia="Arial Narrow" w:hAnsi="Arial" w:cs="Arial"/>
                <w:sz w:val="20"/>
                <w:szCs w:val="20"/>
              </w:rPr>
              <w:t xml:space="preserve">, </w:t>
            </w:r>
            <w:r w:rsidRPr="00633A0E">
              <w:rPr>
                <w:rFonts w:ascii="Arial" w:eastAsia="Arial Narrow" w:hAnsi="Arial" w:cs="Arial"/>
                <w:sz w:val="20"/>
                <w:szCs w:val="20"/>
              </w:rPr>
              <w:t>which includes verification of the following:</w:t>
            </w:r>
          </w:p>
          <w:p w14:paraId="29864D4F" w14:textId="77777777" w:rsidR="00412721" w:rsidRPr="00633A0E" w:rsidRDefault="00412721" w:rsidP="00412721">
            <w:pPr>
              <w:pStyle w:val="ListParagraph"/>
              <w:widowControl w:val="0"/>
              <w:numPr>
                <w:ilvl w:val="0"/>
                <w:numId w:val="3"/>
              </w:numPr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Correct patient</w:t>
            </w:r>
          </w:p>
          <w:p w14:paraId="20509336" w14:textId="77777777" w:rsidR="00412721" w:rsidRPr="00633A0E" w:rsidRDefault="00412721" w:rsidP="00412721">
            <w:pPr>
              <w:pStyle w:val="ListParagraph"/>
              <w:widowControl w:val="0"/>
              <w:numPr>
                <w:ilvl w:val="0"/>
                <w:numId w:val="3"/>
              </w:numPr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Correct initial order</w:t>
            </w:r>
          </w:p>
          <w:p w14:paraId="4E2C4B58" w14:textId="77777777" w:rsidR="00412721" w:rsidRPr="00633A0E" w:rsidRDefault="00412721" w:rsidP="00412721">
            <w:pPr>
              <w:pStyle w:val="ListParagraph"/>
              <w:widowControl w:val="0"/>
              <w:numPr>
                <w:ilvl w:val="0"/>
                <w:numId w:val="3"/>
              </w:numPr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Correct preparation of infusion</w:t>
            </w:r>
          </w:p>
          <w:p w14:paraId="145348D0" w14:textId="77777777" w:rsidR="00412721" w:rsidRPr="00633A0E" w:rsidRDefault="00412721" w:rsidP="00412721">
            <w:pPr>
              <w:pStyle w:val="ListParagraph"/>
              <w:widowControl w:val="0"/>
              <w:numPr>
                <w:ilvl w:val="0"/>
                <w:numId w:val="3"/>
              </w:numPr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Correct labeling of infusion bag</w:t>
            </w:r>
          </w:p>
          <w:p w14:paraId="5A1CFEDF" w14:textId="77777777" w:rsidR="00412721" w:rsidRPr="00633A0E" w:rsidRDefault="00412721" w:rsidP="00412721">
            <w:pPr>
              <w:pStyle w:val="ListParagraph"/>
              <w:widowControl w:val="0"/>
              <w:numPr>
                <w:ilvl w:val="0"/>
                <w:numId w:val="3"/>
              </w:numPr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Correct initial infusion pump settings and ensuring it is to the closest port.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256A8A67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4C5FA6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23FE08B2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63A060A4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4D4185A2" w14:textId="77777777" w:rsidTr="00FC5119">
        <w:trPr>
          <w:trHeight w:val="266"/>
          <w:jc w:val="center"/>
        </w:trPr>
        <w:tc>
          <w:tcPr>
            <w:tcW w:w="8185" w:type="dxa"/>
          </w:tcPr>
          <w:p w14:paraId="4A2F7FAF" w14:textId="77777777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Initial and ongoing staff training is provided and supported for implementation of the independent double check. 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1B42330B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ACF800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67B2EB05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55EF028C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3BECB1A6" w14:textId="77777777" w:rsidTr="00FC5119">
        <w:trPr>
          <w:trHeight w:val="425"/>
          <w:jc w:val="center"/>
        </w:trPr>
        <w:tc>
          <w:tcPr>
            <w:tcW w:w="18805" w:type="dxa"/>
            <w:gridSpan w:val="5"/>
            <w:shd w:val="clear" w:color="auto" w:fill="70AD47"/>
            <w:vAlign w:val="center"/>
          </w:tcPr>
          <w:p w14:paraId="65B06A58" w14:textId="77777777" w:rsidR="00412721" w:rsidRPr="00633A0E" w:rsidRDefault="00412721" w:rsidP="00412721">
            <w:pPr>
              <w:tabs>
                <w:tab w:val="left" w:pos="41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b/>
                <w:sz w:val="20"/>
                <w:szCs w:val="20"/>
              </w:rPr>
              <w:t>Recommendation #9: Low-Dose Regimen</w:t>
            </w:r>
            <w:r w:rsidRPr="00633A0E">
              <w:rPr>
                <w:rFonts w:ascii="Arial" w:eastAsia="Arial Narrow" w:hAnsi="Arial" w:cs="Arial"/>
                <w:b/>
                <w:sz w:val="20"/>
                <w:szCs w:val="20"/>
              </w:rPr>
              <w:tab/>
            </w:r>
          </w:p>
        </w:tc>
      </w:tr>
      <w:tr w:rsidR="00412721" w:rsidRPr="009778C5" w14:paraId="2DF40D05" w14:textId="77777777" w:rsidTr="00FC5119">
        <w:trPr>
          <w:trHeight w:val="275"/>
          <w:jc w:val="center"/>
        </w:trPr>
        <w:tc>
          <w:tcPr>
            <w:tcW w:w="18805" w:type="dxa"/>
            <w:gridSpan w:val="5"/>
            <w:shd w:val="clear" w:color="auto" w:fill="A6A6A6"/>
            <w:vAlign w:val="center"/>
          </w:tcPr>
          <w:p w14:paraId="126E565E" w14:textId="5E30D32C" w:rsidR="00412721" w:rsidRPr="00633A0E" w:rsidRDefault="00412721" w:rsidP="00412721">
            <w:pPr>
              <w:tabs>
                <w:tab w:val="left" w:pos="4155"/>
              </w:tabs>
              <w:rPr>
                <w:rFonts w:ascii="Arial" w:eastAsia="Arial Narrow" w:hAnsi="Arial" w:cs="Arial"/>
                <w:b/>
                <w:i/>
                <w:iCs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i/>
                <w:iCs/>
                <w:sz w:val="20"/>
                <w:szCs w:val="20"/>
              </w:rPr>
              <w:t>Hospitals administering oxytocin for the purpose of augmentation and induction will follow a low-dose regimen.</w:t>
            </w:r>
          </w:p>
        </w:tc>
      </w:tr>
      <w:tr w:rsidR="00412721" w:rsidRPr="009778C5" w14:paraId="586FE9E5" w14:textId="77777777" w:rsidTr="00FC5119">
        <w:trPr>
          <w:trHeight w:val="439"/>
          <w:jc w:val="center"/>
        </w:trPr>
        <w:tc>
          <w:tcPr>
            <w:tcW w:w="8185" w:type="dxa"/>
          </w:tcPr>
          <w:p w14:paraId="0267F491" w14:textId="2DD7E44B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The hospital implements a low-dose oxytocin </w:t>
            </w:r>
            <w:r w:rsidR="000B0147" w:rsidRPr="00633A0E">
              <w:rPr>
                <w:rFonts w:ascii="Arial" w:eastAsia="Arial Narrow" w:hAnsi="Arial" w:cs="Arial"/>
                <w:sz w:val="20"/>
                <w:szCs w:val="20"/>
              </w:rPr>
              <w:t>regimen/</w:t>
            </w:r>
            <w:r w:rsidRPr="00633A0E">
              <w:rPr>
                <w:rFonts w:ascii="Arial" w:eastAsia="Arial Narrow" w:hAnsi="Arial" w:cs="Arial"/>
                <w:sz w:val="20"/>
                <w:szCs w:val="20"/>
              </w:rPr>
              <w:t>protocol to promote safe administration of oxytocin.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91E082F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2CE50B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55BAC0B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78E3DBB0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61E2CFA9" w14:textId="77777777" w:rsidTr="00FC5119">
        <w:trPr>
          <w:trHeight w:val="385"/>
          <w:jc w:val="center"/>
        </w:trPr>
        <w:tc>
          <w:tcPr>
            <w:tcW w:w="18805" w:type="dxa"/>
            <w:gridSpan w:val="5"/>
            <w:shd w:val="clear" w:color="auto" w:fill="70AD47"/>
            <w:vAlign w:val="center"/>
          </w:tcPr>
          <w:p w14:paraId="586CD2E0" w14:textId="77777777" w:rsidR="00412721" w:rsidRPr="00633A0E" w:rsidRDefault="00412721" w:rsidP="00412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b/>
                <w:sz w:val="20"/>
                <w:szCs w:val="20"/>
              </w:rPr>
              <w:t>Recommendation #10: Stopping &amp; Re-Starting Oxytocin Administration</w:t>
            </w:r>
          </w:p>
        </w:tc>
      </w:tr>
      <w:tr w:rsidR="00412721" w:rsidRPr="009778C5" w14:paraId="183CF054" w14:textId="77777777" w:rsidTr="00FC5119">
        <w:trPr>
          <w:trHeight w:val="298"/>
          <w:jc w:val="center"/>
        </w:trPr>
        <w:tc>
          <w:tcPr>
            <w:tcW w:w="18805" w:type="dxa"/>
            <w:gridSpan w:val="5"/>
            <w:shd w:val="clear" w:color="auto" w:fill="A6A6A6"/>
            <w:vAlign w:val="center"/>
          </w:tcPr>
          <w:p w14:paraId="683D71A0" w14:textId="3C7B3207" w:rsidR="00412721" w:rsidRPr="00633A0E" w:rsidRDefault="00412721" w:rsidP="00412721">
            <w:pPr>
              <w:rPr>
                <w:rFonts w:ascii="Arial" w:eastAsia="Arial Narrow" w:hAnsi="Arial" w:cs="Arial"/>
                <w:b/>
                <w:i/>
                <w:iCs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i/>
                <w:iCs/>
                <w:sz w:val="20"/>
                <w:szCs w:val="20"/>
              </w:rPr>
              <w:t>Health care providers are to be aware of when to stop, reduce and safely restart oxytocin administration.</w:t>
            </w:r>
          </w:p>
        </w:tc>
      </w:tr>
      <w:tr w:rsidR="00412721" w:rsidRPr="009778C5" w14:paraId="1F636124" w14:textId="77777777" w:rsidTr="00FC5119">
        <w:trPr>
          <w:trHeight w:val="439"/>
          <w:jc w:val="center"/>
        </w:trPr>
        <w:tc>
          <w:tcPr>
            <w:tcW w:w="8185" w:type="dxa"/>
          </w:tcPr>
          <w:p w14:paraId="55458300" w14:textId="5ECF0D09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Initial and ongoing training on when to stop, reduce and safely restart oxytocin is provided to </w:t>
            </w:r>
            <w:r w:rsidR="000B0147" w:rsidRPr="00633A0E">
              <w:rPr>
                <w:rFonts w:ascii="Arial" w:eastAsia="Arial Narrow" w:hAnsi="Arial" w:cs="Arial"/>
                <w:sz w:val="20"/>
                <w:szCs w:val="20"/>
              </w:rPr>
              <w:t xml:space="preserve">the appropriate </w:t>
            </w: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health care providers. 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6BF7376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BD5540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4F7C5ADB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70B65EE5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56BE590C" w14:textId="77777777" w:rsidTr="00FC5119">
        <w:trPr>
          <w:trHeight w:val="204"/>
          <w:jc w:val="center"/>
        </w:trPr>
        <w:tc>
          <w:tcPr>
            <w:tcW w:w="8185" w:type="dxa"/>
          </w:tcPr>
          <w:p w14:paraId="429275EC" w14:textId="77777777" w:rsidR="00412721" w:rsidRPr="00633A0E" w:rsidRDefault="00412721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The MRP completes an in-person assessment before oxytocin is administered.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07C2C265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A84022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2B12EF8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5263B908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1C4313F0" w14:textId="77777777" w:rsidTr="00FC5119">
        <w:trPr>
          <w:trHeight w:val="439"/>
          <w:jc w:val="center"/>
        </w:trPr>
        <w:tc>
          <w:tcPr>
            <w:tcW w:w="8185" w:type="dxa"/>
          </w:tcPr>
          <w:p w14:paraId="5F6B05D6" w14:textId="3B36A9D5" w:rsidR="00412721" w:rsidRPr="00633A0E" w:rsidRDefault="000B0147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Rationale for initiating,</w:t>
            </w:r>
            <w:r w:rsidR="00412721" w:rsidRPr="00633A0E">
              <w:rPr>
                <w:rFonts w:ascii="Arial" w:eastAsia="Arial Narrow" w:hAnsi="Arial" w:cs="Arial"/>
                <w:sz w:val="20"/>
                <w:szCs w:val="20"/>
              </w:rPr>
              <w:t xml:space="preserve"> increasing, reducing and stopping oxytocin are clearly documented by </w:t>
            </w: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the </w:t>
            </w:r>
            <w:r w:rsidR="00412721" w:rsidRPr="00633A0E">
              <w:rPr>
                <w:rFonts w:ascii="Arial" w:eastAsia="Arial Narrow" w:hAnsi="Arial" w:cs="Arial"/>
                <w:sz w:val="20"/>
                <w:szCs w:val="20"/>
              </w:rPr>
              <w:t>administrating health care provider.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27CBD2D6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642B64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AE17865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06D45EBC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21" w:rsidRPr="009778C5" w14:paraId="186D70AC" w14:textId="77777777" w:rsidTr="00FC5119">
        <w:trPr>
          <w:trHeight w:val="440"/>
          <w:jc w:val="center"/>
        </w:trPr>
        <w:tc>
          <w:tcPr>
            <w:tcW w:w="18805" w:type="dxa"/>
            <w:gridSpan w:val="5"/>
            <w:shd w:val="clear" w:color="auto" w:fill="70AD47"/>
            <w:vAlign w:val="center"/>
          </w:tcPr>
          <w:p w14:paraId="54609628" w14:textId="77777777" w:rsidR="00412721" w:rsidRPr="00633A0E" w:rsidRDefault="00412721" w:rsidP="00412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b/>
                <w:sz w:val="20"/>
                <w:szCs w:val="20"/>
              </w:rPr>
              <w:t>Recommendation #11: Patient Support in Labour</w:t>
            </w:r>
          </w:p>
        </w:tc>
      </w:tr>
      <w:tr w:rsidR="00412721" w:rsidRPr="009778C5" w14:paraId="02CFD225" w14:textId="77777777" w:rsidTr="00FC5119">
        <w:trPr>
          <w:trHeight w:val="212"/>
          <w:jc w:val="center"/>
        </w:trPr>
        <w:tc>
          <w:tcPr>
            <w:tcW w:w="18805" w:type="dxa"/>
            <w:gridSpan w:val="5"/>
            <w:shd w:val="clear" w:color="auto" w:fill="A6A6A6"/>
          </w:tcPr>
          <w:p w14:paraId="49635565" w14:textId="229037FF" w:rsidR="00412721" w:rsidRPr="00633A0E" w:rsidRDefault="00412721" w:rsidP="00412721">
            <w:pPr>
              <w:rPr>
                <w:rFonts w:ascii="Arial" w:eastAsia="Arial Narrow" w:hAnsi="Arial" w:cs="Arial"/>
                <w:b/>
                <w:i/>
                <w:iCs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i/>
                <w:iCs/>
                <w:sz w:val="20"/>
                <w:szCs w:val="20"/>
              </w:rPr>
              <w:t>Pregnant patients in labour receiving an oxytocin infusion will receive continuous one-to-one care by a registered health care professional for support, advocacy, comfort measures, and monitoring.</w:t>
            </w:r>
          </w:p>
        </w:tc>
      </w:tr>
      <w:tr w:rsidR="00412721" w:rsidRPr="009778C5" w14:paraId="397C1DBD" w14:textId="77777777" w:rsidTr="00FC5119">
        <w:trPr>
          <w:trHeight w:val="426"/>
          <w:jc w:val="center"/>
        </w:trPr>
        <w:tc>
          <w:tcPr>
            <w:tcW w:w="8185" w:type="dxa"/>
          </w:tcPr>
          <w:p w14:paraId="39883ECA" w14:textId="60B480A2" w:rsidR="00412721" w:rsidRPr="00633A0E" w:rsidRDefault="000B0147" w:rsidP="00412721">
            <w:pPr>
              <w:widowControl w:val="0"/>
              <w:spacing w:before="1" w:line="252" w:lineRule="exact"/>
              <w:ind w:right="150"/>
              <w:rPr>
                <w:rFonts w:ascii="Arial" w:eastAsia="Arial Narrow" w:hAnsi="Arial" w:cs="Arial"/>
                <w:sz w:val="20"/>
                <w:szCs w:val="20"/>
              </w:rPr>
            </w:pPr>
            <w:r w:rsidRPr="00633A0E">
              <w:rPr>
                <w:rFonts w:ascii="Arial" w:eastAsia="Arial Narrow" w:hAnsi="Arial" w:cs="Arial"/>
                <w:sz w:val="20"/>
                <w:szCs w:val="20"/>
              </w:rPr>
              <w:t>Patients receiving oxytocin consistently have one-to-one (1:1)</w:t>
            </w:r>
            <w:r w:rsidR="00412721" w:rsidRPr="00633A0E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midwife or nurse-to-patient </w:t>
            </w:r>
            <w:r w:rsidR="00412721" w:rsidRPr="00633A0E">
              <w:rPr>
                <w:rFonts w:ascii="Arial" w:eastAsia="Arial Narrow" w:hAnsi="Arial" w:cs="Arial"/>
                <w:sz w:val="20"/>
                <w:szCs w:val="20"/>
              </w:rPr>
              <w:t xml:space="preserve">care for </w:t>
            </w:r>
            <w:r w:rsidRPr="00633A0E">
              <w:rPr>
                <w:rFonts w:ascii="Arial" w:eastAsia="Arial Narrow" w:hAnsi="Arial" w:cs="Arial"/>
                <w:sz w:val="20"/>
                <w:szCs w:val="20"/>
              </w:rPr>
              <w:t>continuous support</w:t>
            </w:r>
            <w:r w:rsidR="00633A0E" w:rsidRPr="00633A0E">
              <w:rPr>
                <w:rFonts w:ascii="Arial" w:eastAsia="Arial Narrow" w:hAnsi="Arial" w:cs="Arial"/>
                <w:sz w:val="20"/>
                <w:szCs w:val="20"/>
              </w:rPr>
              <w:t xml:space="preserve"> and monitoring</w:t>
            </w:r>
            <w:r w:rsidRPr="00633A0E">
              <w:rPr>
                <w:rFonts w:ascii="Arial" w:eastAsia="Arial Narrow" w:hAnsi="Arial" w:cs="Arial"/>
                <w:sz w:val="20"/>
                <w:szCs w:val="20"/>
              </w:rPr>
              <w:t xml:space="preserve"> in labour.  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3ADDB016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5B91AA0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93F55C7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</w:tcPr>
          <w:p w14:paraId="5DCA6B1D" w14:textId="77777777" w:rsidR="00412721" w:rsidRPr="00633A0E" w:rsidRDefault="00412721" w:rsidP="00412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582222" w14:textId="0494685E" w:rsidR="004123ED" w:rsidRDefault="00CC1E26"/>
    <w:p w14:paraId="5659A667" w14:textId="77777777" w:rsidR="00FC5119" w:rsidRDefault="00FC5119"/>
    <w:sectPr w:rsidR="00FC5119" w:rsidSect="00F86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58D8" w14:textId="77777777" w:rsidR="00F86D4D" w:rsidRDefault="00F86D4D" w:rsidP="00F86D4D">
      <w:r>
        <w:separator/>
      </w:r>
    </w:p>
  </w:endnote>
  <w:endnote w:type="continuationSeparator" w:id="0">
    <w:p w14:paraId="482EA916" w14:textId="77777777" w:rsidR="00F86D4D" w:rsidRDefault="00F86D4D" w:rsidP="00F8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B0D9" w14:textId="77777777" w:rsidR="00CC1E26" w:rsidRDefault="00CC1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3162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C4380F" w14:textId="7E27B168" w:rsidR="00CC1E26" w:rsidRPr="00CC1E26" w:rsidRDefault="00CC1E26" w:rsidP="00CC1E26">
        <w:pPr>
          <w:pStyle w:val="Footer"/>
          <w:jc w:val="right"/>
          <w:rPr>
            <w:rFonts w:ascii="Arial" w:hAnsi="Arial" w:cs="Arial"/>
          </w:rPr>
        </w:pPr>
        <w:r w:rsidRPr="00CC1E26">
          <w:rPr>
            <w:rFonts w:ascii="Arial" w:hAnsi="Arial" w:cs="Arial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ascii="Arial" w:hAnsi="Arial" w:cs="Arial"/>
          </w:rPr>
          <w:t xml:space="preserve">                </w:t>
        </w:r>
        <w:r w:rsidRPr="00CC1E26">
          <w:rPr>
            <w:rFonts w:ascii="Arial" w:hAnsi="Arial" w:cs="Arial"/>
          </w:rPr>
          <w:t>January 2022</w:t>
        </w:r>
        <w:r>
          <w:rPr>
            <w:rFonts w:ascii="Arial" w:hAnsi="Arial" w:cs="Arial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Pr="00CC1E26">
          <w:rPr>
            <w:rFonts w:ascii="Arial" w:hAnsi="Arial" w:cs="Arial"/>
          </w:rPr>
          <w:fldChar w:fldCharType="begin"/>
        </w:r>
        <w:r w:rsidRPr="00CC1E26">
          <w:rPr>
            <w:rFonts w:ascii="Arial" w:hAnsi="Arial" w:cs="Arial"/>
          </w:rPr>
          <w:instrText xml:space="preserve"> PAGE   \* MERGEFORMAT </w:instrText>
        </w:r>
        <w:r w:rsidRPr="00CC1E26">
          <w:rPr>
            <w:rFonts w:ascii="Arial" w:hAnsi="Arial" w:cs="Arial"/>
          </w:rPr>
          <w:fldChar w:fldCharType="separate"/>
        </w:r>
        <w:r w:rsidRPr="00CC1E26">
          <w:rPr>
            <w:rFonts w:ascii="Arial" w:hAnsi="Arial" w:cs="Arial"/>
            <w:noProof/>
          </w:rPr>
          <w:t>2</w:t>
        </w:r>
        <w:r w:rsidRPr="00CC1E26">
          <w:rPr>
            <w:rFonts w:ascii="Arial" w:hAnsi="Arial" w:cs="Arial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C9AF" w14:textId="77777777" w:rsidR="00CC1E26" w:rsidRDefault="00CC1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ED80" w14:textId="77777777" w:rsidR="00F86D4D" w:rsidRDefault="00F86D4D" w:rsidP="00F86D4D">
      <w:r>
        <w:separator/>
      </w:r>
    </w:p>
  </w:footnote>
  <w:footnote w:type="continuationSeparator" w:id="0">
    <w:p w14:paraId="075567EE" w14:textId="77777777" w:rsidR="00F86D4D" w:rsidRDefault="00F86D4D" w:rsidP="00F8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30EE" w14:textId="77777777" w:rsidR="00CC1E26" w:rsidRDefault="00CC1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5352" w14:textId="77777777" w:rsidR="00F86D4D" w:rsidRDefault="00F86D4D" w:rsidP="00F86D4D">
    <w:pPr>
      <w:pStyle w:val="Heading3"/>
      <w:rPr>
        <w:rFonts w:ascii="Arial" w:hAnsi="Arial" w:cs="Arial"/>
        <w:color w:val="auto"/>
        <w:sz w:val="40"/>
        <w:szCs w:val="40"/>
      </w:rPr>
    </w:pPr>
    <w:bookmarkStart w:id="0" w:name="_Toc8629981"/>
    <w:bookmarkStart w:id="1" w:name="_Toc84406319"/>
    <w:r w:rsidRPr="00B02CFA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 wp14:anchorId="05D81DEC" wp14:editId="4DDA1699">
          <wp:simplePos x="0" y="0"/>
          <wp:positionH relativeFrom="margin">
            <wp:posOffset>10238740</wp:posOffset>
          </wp:positionH>
          <wp:positionV relativeFrom="topMargin">
            <wp:posOffset>169545</wp:posOffset>
          </wp:positionV>
          <wp:extent cx="882015" cy="804545"/>
          <wp:effectExtent l="0" t="0" r="0" b="0"/>
          <wp:wrapSquare wrapText="bothSides"/>
          <wp:docPr id="19" name="Picture 19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2CFA">
      <w:rPr>
        <w:rFonts w:ascii="Arial" w:hAnsi="Arial" w:cs="Arial"/>
        <w:b/>
        <w:bCs/>
        <w:color w:val="auto"/>
        <w:sz w:val="40"/>
        <w:szCs w:val="40"/>
      </w:rPr>
      <w:t>Safe Administration of Oxytocin</w:t>
    </w:r>
    <w:r w:rsidRPr="00934267">
      <w:rPr>
        <w:rFonts w:ascii="Arial" w:hAnsi="Arial" w:cs="Arial"/>
        <w:color w:val="auto"/>
        <w:sz w:val="40"/>
        <w:szCs w:val="40"/>
      </w:rPr>
      <w:t xml:space="preserve"> Gap Analysis Tool</w:t>
    </w:r>
    <w:bookmarkEnd w:id="0"/>
    <w:bookmarkEnd w:id="1"/>
  </w:p>
  <w:p w14:paraId="3D8D17F8" w14:textId="4B1AC356" w:rsidR="00FC5119" w:rsidRDefault="00FC5119" w:rsidP="00F86D4D">
    <w:r w:rsidRPr="0093426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677CC" wp14:editId="1CD1E75F">
              <wp:simplePos x="0" y="0"/>
              <wp:positionH relativeFrom="column">
                <wp:posOffset>0</wp:posOffset>
              </wp:positionH>
              <wp:positionV relativeFrom="paragraph">
                <wp:posOffset>29328</wp:posOffset>
              </wp:positionV>
              <wp:extent cx="6103088" cy="72000"/>
              <wp:effectExtent l="0" t="0" r="0" b="444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088" cy="7200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5F53DC" id="Rectangle 17" o:spid="_x0000_s1026" style="position:absolute;margin-left:0;margin-top:2.3pt;width:480.5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ShkgIAAIYFAAAOAAAAZHJzL2Uyb0RvYy54bWysVEtP3DAQvlfqf7B8L8lSniuyaAFRVUKA&#10;gIqz17E3lhyPO/ZudvvrO3aygQLqoeol8Xjen7+Zs/NNa9laYTDgKj7ZKzlTTkJt3LLiP56uv5xw&#10;FqJwtbDgVMW3KvDz2edPZ52fqn1owNYKGQVxYdr5ijcx+mlRBNmoVoQ98MqRUgO2IpKIy6JG0VH0&#10;1hb7ZXlUdIC1R5AqBLq96pV8luNrrWS80zqoyGzFqbaYv5i/i/QtZmdiukThGyOHMsQ/VNEK4yjp&#10;GOpKRMFWaN6Fao1ECKDjnoS2AK2NVLkH6mZSvunmsRFe5V4InOBHmML/Cytv1/fITE1vd8yZEy29&#10;0QOhJtzSKkZ3BFDnw5TsHv09DlKgY+p2o7FNf+qDbTKo2xFUtYlM0uXRpPxanhANJOmO6c0y6MWL&#10;s8cQvyloWTpUHCl7hlKsb0KkhGS6M0m5AlhTXxtrs4DLxaVFthb0vocXpxdXh6licvnDzLpk7CC5&#10;9ep0U6TG+lbyKW6tSnbWPShNmFDx+7mSzEY15hFSKhcnvaoRtRrSU2u73kaPXEsOmCJryj/GHgIk&#10;pr+P3Vc52CdXlck8Opd/K6x3Hj1yZnBxdG6NA/wogKWuhsy9/Q6kHpqE0gLqLTEGoR+l4OW1oXe7&#10;ESHeC6TZoSmjfRDv6KMtdBWH4cRZA/jro/tkT5QmLWcdzWLFw8+VQMWZ/e6I7KeTg4M0vFk4OCQS&#10;cYavNYvXGrdqL4HoMKHN42U+Jvtod0eN0D7T2pinrKQSTlLuisuIO+Ey9juCFo9U83k2o4H1It64&#10;Ry9T8IRq4uXT5lmgH8gbifW3sJtbMX3D4d42eTqYryJokwn+guuANw17Js6wmNI2eS1nq5f1OfsN&#10;AAD//wMAUEsDBBQABgAIAAAAIQBw78Cm2wAAAAUBAAAPAAAAZHJzL2Rvd25yZXYueG1sTI/BTsMw&#10;EETvSPyDtUjcqG2ggYY4FQLBCVWi9MDRjd0karyO7G2b/j3LCY6jGc28qZZTGMTRp9xHNKBnCoTH&#10;JroeWwObr7ebRxCZLDo7RPQGzj7Dsr68qGzp4gk//XFNreASzKU10BGNpZS56XyweRZHj+ztYgqW&#10;WKZWumRPXB4GeatUIYPtkRc6O/qXzjf79SEYeCD1elZ336uPdz1Pu0nvqYgbY66vpucnEOQn+gvD&#10;Lz6jQ81M23hAl8VggI+QgfsCBJuLQmsQW07NFyDrSv6nr38AAAD//wMAUEsBAi0AFAAGAAgAAAAh&#10;ALaDOJL+AAAA4QEAABMAAAAAAAAAAAAAAAAAAAAAAFtDb250ZW50X1R5cGVzXS54bWxQSwECLQAU&#10;AAYACAAAACEAOP0h/9YAAACUAQAACwAAAAAAAAAAAAAAAAAvAQAAX3JlbHMvLnJlbHNQSwECLQAU&#10;AAYACAAAACEABa6koZICAACGBQAADgAAAAAAAAAAAAAAAAAuAgAAZHJzL2Uyb0RvYy54bWxQSwEC&#10;LQAUAAYACAAAACEAcO/AptsAAAAFAQAADwAAAAAAAAAAAAAAAADsBAAAZHJzL2Rvd25yZXYueG1s&#10;UEsFBgAAAAAEAAQA8wAAAPQFAAAAAA==&#10;" fillcolor="#5b9bd5" stroked="f" strokeweight="1pt"/>
          </w:pict>
        </mc:Fallback>
      </mc:AlternateContent>
    </w:r>
  </w:p>
  <w:p w14:paraId="1BA76F79" w14:textId="33F7F911" w:rsidR="00F86D4D" w:rsidRPr="00FC5119" w:rsidRDefault="00F86D4D" w:rsidP="00F86D4D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7E22" w14:textId="77777777" w:rsidR="00CC1E26" w:rsidRDefault="00CC1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330F8"/>
    <w:multiLevelType w:val="hybridMultilevel"/>
    <w:tmpl w:val="B1DE1B84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9BB6760"/>
    <w:multiLevelType w:val="hybridMultilevel"/>
    <w:tmpl w:val="3E9A1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A7D86"/>
    <w:multiLevelType w:val="hybridMultilevel"/>
    <w:tmpl w:val="A5C62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4D"/>
    <w:rsid w:val="000B0147"/>
    <w:rsid w:val="001A2D9E"/>
    <w:rsid w:val="00412721"/>
    <w:rsid w:val="005E677A"/>
    <w:rsid w:val="00633A0E"/>
    <w:rsid w:val="00784AC4"/>
    <w:rsid w:val="00B02CFA"/>
    <w:rsid w:val="00B90A33"/>
    <w:rsid w:val="00CC1E26"/>
    <w:rsid w:val="00F86D4D"/>
    <w:rsid w:val="00F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18F433"/>
  <w15:chartTrackingRefBased/>
  <w15:docId w15:val="{9DBC88EB-EF7C-41F0-B322-87C59C2A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D4D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6D4D"/>
    <w:pPr>
      <w:spacing w:after="160" w:line="259" w:lineRule="auto"/>
      <w:ind w:left="720"/>
      <w:contextualSpacing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86D4D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86D4D"/>
    <w:rPr>
      <w:lang w:val="en-US"/>
    </w:rPr>
  </w:style>
  <w:style w:type="table" w:styleId="TableGrid">
    <w:name w:val="Table Grid"/>
    <w:basedOn w:val="TableNormal"/>
    <w:uiPriority w:val="39"/>
    <w:rsid w:val="00F8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4D"/>
  </w:style>
  <w:style w:type="paragraph" w:styleId="Footer">
    <w:name w:val="footer"/>
    <w:basedOn w:val="Normal"/>
    <w:link w:val="FooterChar"/>
    <w:uiPriority w:val="99"/>
    <w:unhideWhenUsed/>
    <w:rsid w:val="00F86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4D"/>
  </w:style>
  <w:style w:type="character" w:customStyle="1" w:styleId="Heading3Char">
    <w:name w:val="Heading 3 Char"/>
    <w:basedOn w:val="DefaultParagraphFont"/>
    <w:link w:val="Heading3"/>
    <w:uiPriority w:val="9"/>
    <w:rsid w:val="00F86D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Morris</dc:creator>
  <cp:keywords/>
  <dc:description/>
  <cp:lastModifiedBy>Tracy Morris</cp:lastModifiedBy>
  <cp:revision>4</cp:revision>
  <dcterms:created xsi:type="dcterms:W3CDTF">2022-01-31T20:37:00Z</dcterms:created>
  <dcterms:modified xsi:type="dcterms:W3CDTF">2022-01-31T21:22:00Z</dcterms:modified>
</cp:coreProperties>
</file>